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东濠涌及内环路高架水下桩基劳务协作及耐久性研究服务项目</w:t>
      </w:r>
    </w:p>
    <w:p>
      <w:pPr>
        <w:spacing w:line="360" w:lineRule="auto"/>
        <w:jc w:val="center"/>
        <w:outlineLvl w:val="1"/>
        <w:rPr>
          <w:rFonts w:ascii="Times New Roman" w:hAnsi="Times New Roman" w:eastAsia="宋体" w:cs="Times New Roman"/>
          <w:color w:val="auto"/>
          <w:sz w:val="24"/>
        </w:rPr>
      </w:pPr>
      <w:r>
        <w:rPr>
          <w:rFonts w:hint="eastAsia" w:cs="Times New Roman"/>
          <w:b/>
          <w:color w:val="000000"/>
          <w:sz w:val="32"/>
          <w:szCs w:val="32"/>
          <w:lang w:val="en-US" w:eastAsia="zh-CN"/>
        </w:rPr>
        <w:t>招标</w:t>
      </w:r>
      <w:r>
        <w:rPr>
          <w:rFonts w:hint="eastAsia" w:ascii="Times New Roman" w:hAnsi="Times New Roman" w:eastAsia="宋体" w:cs="Times New Roman"/>
          <w:b/>
          <w:color w:val="000000"/>
          <w:sz w:val="32"/>
          <w:szCs w:val="32"/>
          <w:lang w:val="en-US" w:eastAsia="zh-CN"/>
        </w:rPr>
        <w:t>意向征集公告</w:t>
      </w:r>
    </w:p>
    <w:p>
      <w:pPr>
        <w:topLinePunct/>
        <w:spacing w:line="360" w:lineRule="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topLinePunct/>
        <w:spacing w:line="460" w:lineRule="exact"/>
        <w:ind w:firstLine="540" w:firstLineChars="225"/>
        <w:rPr>
          <w:rFonts w:ascii="Times New Roman" w:hAnsi="Times New Roman" w:eastAsia="宋体" w:cs="Times New Roman"/>
          <w:sz w:val="24"/>
        </w:rPr>
      </w:pPr>
      <w:bookmarkStart w:id="0" w:name="OLE_LINK34"/>
      <w:bookmarkStart w:id="1" w:name="OLE_LINK35"/>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服务期：</w:t>
      </w:r>
      <w:r>
        <w:rPr>
          <w:rFonts w:hint="eastAsia" w:cs="Times New Roman"/>
          <w:sz w:val="24"/>
          <w:lang w:val="en-US" w:eastAsia="zh-CN"/>
        </w:rPr>
        <w:t>自合同签订之日起至2023年12月31日止。</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招标范围：</w:t>
      </w:r>
      <w:r>
        <w:rPr>
          <w:rFonts w:hint="eastAsia" w:cs="Times New Roman"/>
          <w:sz w:val="24"/>
          <w:lang w:val="en-US" w:eastAsia="zh-CN"/>
        </w:rPr>
        <w:t>东濠涌及内环路高架水下桩基劳务协作及耐久性研究服务项目</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最高投标限价：98.9万元。</w:t>
      </w:r>
    </w:p>
    <w:p>
      <w:pPr>
        <w:topLinePunct/>
        <w:spacing w:line="460" w:lineRule="exact"/>
        <w:ind w:firstLine="540" w:firstLineChars="225"/>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服务地点：广州市。</w:t>
      </w:r>
    </w:p>
    <w:p>
      <w:pPr>
        <w:spacing w:line="360" w:lineRule="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cs="Times New Roman"/>
          <w:sz w:val="24"/>
          <w:lang w:val="en-US" w:eastAsia="zh-CN"/>
        </w:rPr>
        <w:t xml:space="preserve">2.1 </w:t>
      </w:r>
      <w:r>
        <w:rPr>
          <w:rFonts w:hint="eastAsia" w:ascii="Times New Roman" w:hAnsi="Times New Roman" w:eastAsia="宋体" w:cs="Times New Roman"/>
          <w:sz w:val="24"/>
          <w:lang w:val="en-US" w:eastAsia="zh-CN"/>
        </w:rPr>
        <w:t>为了顺利完成市政路桥检测及监测专项—桥梁隧道特殊检测及非高等级航道桥梁水下桩基检测项目，需对项目内东濠涌和内环路高架水下桩基提供劳务协作，同时在安全、质量可控的前提下对其水下桩基耐久性进行研究工作，主要内容如下：</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（1）摸查桥址处河床冲刷或淤积情况；</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（2）水下基础及墩台有无出现滑移、下沉、倾斜等异常变形；</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（3）钢筋混凝土立柱、墩身、承台、系梁有无出现开裂、混凝土剥落、露筋；水下桩基有无出现混凝土保护层剥落、孔洞、缩颈、开裂、露筋；桥墩左、右侧2.00 m范围的河床调查、基础局部冲刷检查；</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（4）根据现场实际情况采用水下录像、水下照相或水下探摸的方式，须及时记录缺损的部位、类型、性质、范围、数量和程度等相关数据。</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（5）开展水下检测时，须提醒蛙人对潮汐水位变化的位置加强检查力度，对表观混凝土要用锤子等敲一下。</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（6）对水下桩基长期耐久性进行研究（含研究报告1份、期刊论文2篇）</w:t>
      </w:r>
    </w:p>
    <w:p>
      <w:pPr>
        <w:topLinePunct/>
        <w:spacing w:line="460" w:lineRule="exact"/>
        <w:ind w:firstLine="540" w:firstLineChars="225"/>
        <w:rPr>
          <w:rFonts w:hint="default" w:ascii="Times New Roman" w:hAnsi="Times New Roman" w:eastAsia="宋体" w:cs="Times New Roman"/>
          <w:lang w:val="en-US" w:eastAsia="zh-CN"/>
        </w:rPr>
      </w:pPr>
      <w:r>
        <w:rPr>
          <w:rFonts w:hint="eastAsia" w:cs="Times New Roman"/>
          <w:sz w:val="24"/>
          <w:lang w:val="en-US" w:eastAsia="zh-CN"/>
        </w:rPr>
        <w:t xml:space="preserve">2.2 </w:t>
      </w:r>
      <w:r>
        <w:rPr>
          <w:rFonts w:hint="eastAsia" w:ascii="Times New Roman" w:hAnsi="Times New Roman" w:eastAsia="宋体" w:cs="Times New Roman"/>
          <w:sz w:val="24"/>
          <w:lang w:val="en-US" w:eastAsia="zh-CN"/>
        </w:rPr>
        <w:t>技术标准及要求：符合国家及省、市有关检测合格标准，符合规范有关要求及采购人要求。严格执行有关安全生产的法律法规和规章制度，确保项目服务期内人员无安全事故发生（零死亡）。</w:t>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lang w:val="en-US" w:eastAsia="zh-CN"/>
        </w:rPr>
      </w:pPr>
      <w:r>
        <w:rPr>
          <w:rFonts w:hint="eastAsia" w:cs="Times New Roman"/>
          <w:b/>
          <w:snapToGrid w:val="0"/>
          <w:color w:val="auto"/>
          <w:kern w:val="0"/>
          <w:sz w:val="24"/>
          <w:lang w:val="en-US" w:eastAsia="zh-CN"/>
        </w:rPr>
        <w:t>投标单位</w:t>
      </w:r>
      <w:r>
        <w:rPr>
          <w:rFonts w:hint="eastAsia" w:ascii="Times New Roman" w:hAnsi="Times New Roman" w:eastAsia="宋体" w:cs="Times New Roman"/>
          <w:b/>
          <w:snapToGrid w:val="0"/>
          <w:color w:val="auto"/>
          <w:kern w:val="0"/>
          <w:sz w:val="24"/>
          <w:lang w:val="en-US" w:eastAsia="zh-CN"/>
        </w:rPr>
        <w:t>资格条件</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hint="eastAsia" w:ascii="Times New Roman" w:hAnsi="Times New Roman" w:eastAsia="宋体" w:cs="Times New Roman"/>
          <w:bCs/>
          <w:snapToGrid w:val="0"/>
          <w:kern w:val="0"/>
          <w:sz w:val="24"/>
        </w:rPr>
      </w:pPr>
      <w:r>
        <w:rPr>
          <w:rFonts w:hint="eastAsia" w:ascii="Times New Roman" w:hAnsi="Times New Roman" w:eastAsia="宋体" w:cs="Times New Roman"/>
          <w:bCs/>
          <w:snapToGrid w:val="0"/>
          <w:kern w:val="0"/>
          <w:sz w:val="24"/>
        </w:rPr>
        <w:t>3.1</w:t>
      </w:r>
      <w:r>
        <w:rPr>
          <w:rFonts w:hint="eastAsia" w:cs="Times New Roman"/>
          <w:bCs/>
          <w:snapToGrid w:val="0"/>
          <w:kern w:val="0"/>
          <w:sz w:val="24"/>
          <w:lang w:val="en-US" w:eastAsia="zh-CN"/>
        </w:rPr>
        <w:t xml:space="preserve"> </w:t>
      </w:r>
      <w:r>
        <w:rPr>
          <w:rFonts w:hint="eastAsia" w:ascii="Times New Roman" w:hAnsi="Times New Roman" w:eastAsia="宋体" w:cs="Times New Roman"/>
          <w:bCs/>
          <w:snapToGrid w:val="0"/>
          <w:kern w:val="0"/>
          <w:sz w:val="24"/>
        </w:rPr>
        <w:t>投标人具有独立法人资格，持有工商行政管理部门颁发的有效的营业执照。近5年内（201</w:t>
      </w:r>
      <w:r>
        <w:rPr>
          <w:rFonts w:hint="eastAsia" w:ascii="Times New Roman" w:hAnsi="Times New Roman" w:eastAsia="宋体" w:cs="Times New Roman"/>
          <w:bCs/>
          <w:snapToGrid w:val="0"/>
          <w:kern w:val="0"/>
          <w:sz w:val="24"/>
          <w:lang w:val="en-US" w:eastAsia="zh-CN"/>
        </w:rPr>
        <w:t>8</w:t>
      </w:r>
      <w:r>
        <w:rPr>
          <w:rFonts w:hint="eastAsia" w:ascii="Times New Roman" w:hAnsi="Times New Roman" w:eastAsia="宋体" w:cs="Times New Roman"/>
          <w:bCs/>
          <w:snapToGrid w:val="0"/>
          <w:kern w:val="0"/>
          <w:sz w:val="24"/>
        </w:rPr>
        <w:t>年</w:t>
      </w:r>
      <w:r>
        <w:rPr>
          <w:rFonts w:hint="eastAsia" w:ascii="Times New Roman" w:hAnsi="Times New Roman" w:eastAsia="宋体" w:cs="Times New Roman"/>
          <w:bCs/>
          <w:snapToGrid w:val="0"/>
          <w:kern w:val="0"/>
          <w:sz w:val="24"/>
          <w:lang w:val="en-US" w:eastAsia="zh-CN"/>
        </w:rPr>
        <w:t>1</w:t>
      </w:r>
      <w:r>
        <w:rPr>
          <w:rFonts w:hint="eastAsia" w:ascii="Times New Roman" w:hAnsi="Times New Roman" w:eastAsia="宋体" w:cs="Times New Roman"/>
          <w:bCs/>
          <w:snapToGrid w:val="0"/>
          <w:kern w:val="0"/>
          <w:sz w:val="24"/>
        </w:rPr>
        <w:t>月1日至递交响应文件截止之日止）</w:t>
      </w:r>
      <w:r>
        <w:rPr>
          <w:rFonts w:hint="eastAsia" w:ascii="Times New Roman" w:hAnsi="Times New Roman" w:eastAsia="宋体" w:cs="Times New Roman"/>
          <w:bCs/>
          <w:snapToGrid w:val="0"/>
          <w:kern w:val="0"/>
          <w:sz w:val="24"/>
          <w:lang w:val="en-US" w:eastAsia="zh-CN"/>
        </w:rPr>
        <w:t>至少独立</w:t>
      </w:r>
      <w:r>
        <w:rPr>
          <w:rFonts w:hint="eastAsia" w:ascii="Times New Roman" w:hAnsi="Times New Roman" w:eastAsia="宋体" w:cs="Times New Roman"/>
          <w:bCs/>
          <w:snapToGrid w:val="0"/>
          <w:kern w:val="0"/>
          <w:sz w:val="24"/>
        </w:rPr>
        <w:t>承揽过1项水下基础检测或水下基础检测劳务协作业绩</w:t>
      </w:r>
      <w:r>
        <w:rPr>
          <w:rFonts w:hint="eastAsia" w:ascii="Times New Roman" w:hAnsi="Times New Roman" w:eastAsia="宋体" w:cs="Times New Roman"/>
          <w:bCs/>
          <w:snapToGrid w:val="0"/>
          <w:kern w:val="0"/>
          <w:sz w:val="24"/>
          <w:lang w:val="en-US" w:eastAsia="zh-CN"/>
        </w:rPr>
        <w:t>或1项水下科研项目或课题</w:t>
      </w:r>
      <w:r>
        <w:rPr>
          <w:rFonts w:hint="eastAsia" w:ascii="Times New Roman" w:hAnsi="Times New Roman" w:eastAsia="宋体" w:cs="Times New Roman"/>
          <w:bCs/>
          <w:snapToGrid w:val="0"/>
          <w:kern w:val="0"/>
          <w:sz w:val="24"/>
          <w:lang w:eastAsia="zh-CN"/>
        </w:rPr>
        <w:t>，</w:t>
      </w:r>
      <w:r>
        <w:rPr>
          <w:rFonts w:hint="eastAsia" w:ascii="Times New Roman" w:hAnsi="Times New Roman" w:eastAsia="宋体" w:cs="Times New Roman"/>
          <w:bCs/>
          <w:snapToGrid w:val="0"/>
          <w:kern w:val="0"/>
          <w:sz w:val="24"/>
        </w:rPr>
        <w:t>在人员、设备、信誉等方面具有相应的服务能力。</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hint="eastAsia" w:ascii="Times New Roman" w:hAnsi="Times New Roman" w:eastAsia="宋体" w:cs="Times New Roman"/>
          <w:bCs/>
          <w:snapToGrid w:val="0"/>
          <w:kern w:val="0"/>
          <w:sz w:val="24"/>
        </w:rPr>
      </w:pPr>
      <w:r>
        <w:rPr>
          <w:rFonts w:hint="eastAsia" w:ascii="Times New Roman" w:hAnsi="Times New Roman" w:eastAsia="宋体" w:cs="Times New Roman"/>
          <w:bCs/>
          <w:snapToGrid w:val="0"/>
          <w:kern w:val="0"/>
          <w:sz w:val="24"/>
        </w:rPr>
        <w:t>3.2</w:t>
      </w:r>
      <w:r>
        <w:rPr>
          <w:rFonts w:hint="eastAsia" w:cs="Times New Roman"/>
          <w:bCs/>
          <w:snapToGrid w:val="0"/>
          <w:kern w:val="0"/>
          <w:sz w:val="24"/>
          <w:lang w:val="en-US" w:eastAsia="zh-CN"/>
        </w:rPr>
        <w:t xml:space="preserve"> </w:t>
      </w:r>
      <w:r>
        <w:rPr>
          <w:rFonts w:hint="eastAsia" w:ascii="Times New Roman" w:hAnsi="Times New Roman" w:eastAsia="宋体" w:cs="Times New Roman"/>
          <w:bCs/>
          <w:snapToGrid w:val="0"/>
          <w:kern w:val="0"/>
          <w:sz w:val="24"/>
        </w:rPr>
        <w:t>本次招标不接受联合体投标。</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Cs/>
          <w:snapToGrid w:val="0"/>
          <w:kern w:val="0"/>
          <w:sz w:val="24"/>
        </w:rPr>
        <w:t>3.3</w:t>
      </w:r>
      <w:r>
        <w:rPr>
          <w:rFonts w:hint="eastAsia" w:cs="Times New Roman"/>
          <w:bCs/>
          <w:snapToGrid w:val="0"/>
          <w:kern w:val="0"/>
          <w:sz w:val="24"/>
          <w:lang w:val="en-US" w:eastAsia="zh-CN"/>
        </w:rPr>
        <w:t xml:space="preserve"> </w:t>
      </w:r>
      <w:r>
        <w:rPr>
          <w:rFonts w:hint="eastAsia" w:ascii="Times New Roman" w:hAnsi="Times New Roman" w:eastAsia="宋体" w:cs="Times New Roman"/>
          <w:bCs/>
          <w:snapToGrid w:val="0"/>
          <w:kern w:val="0"/>
          <w:sz w:val="24"/>
        </w:rPr>
        <w:t>与招标人存在利害关系可能影响招标公正性的法人，不得参加投标；若存在单位负责人</w:t>
      </w:r>
      <w:r>
        <w:rPr>
          <w:rFonts w:hint="eastAsia" w:ascii="Times New Roman" w:hAnsi="Times New Roman" w:eastAsia="宋体" w:cs="Times New Roman"/>
          <w:bCs/>
          <w:snapToGrid w:val="0"/>
          <w:kern w:val="0"/>
          <w:sz w:val="24"/>
          <w:vertAlign w:val="superscript"/>
        </w:rPr>
        <w:footnoteReference w:id="0"/>
      </w:r>
      <w:r>
        <w:rPr>
          <w:rFonts w:hint="eastAsia" w:ascii="Times New Roman" w:hAnsi="Times New Roman" w:eastAsia="宋体" w:cs="Times New Roman"/>
          <w:bCs/>
          <w:snapToGrid w:val="0"/>
          <w:kern w:val="0"/>
          <w:sz w:val="24"/>
        </w:rPr>
        <w:t>为同一人、或者存在控股</w:t>
      </w:r>
      <w:r>
        <w:rPr>
          <w:rFonts w:hint="eastAsia" w:ascii="Times New Roman" w:hAnsi="Times New Roman" w:eastAsia="宋体" w:cs="Times New Roman"/>
          <w:bCs/>
          <w:snapToGrid w:val="0"/>
          <w:kern w:val="0"/>
          <w:sz w:val="24"/>
          <w:vertAlign w:val="superscript"/>
        </w:rPr>
        <w:footnoteReference w:id="1"/>
      </w:r>
      <w:r>
        <w:rPr>
          <w:rFonts w:hint="eastAsia" w:ascii="Times New Roman" w:hAnsi="Times New Roman" w:eastAsia="宋体" w:cs="Times New Roman"/>
          <w:bCs/>
          <w:snapToGrid w:val="0"/>
          <w:kern w:val="0"/>
          <w:sz w:val="24"/>
        </w:rPr>
        <w:t>、</w:t>
      </w:r>
      <w:bookmarkStart w:id="5" w:name="_GoBack"/>
      <w:bookmarkEnd w:id="5"/>
      <w:r>
        <w:rPr>
          <w:rFonts w:hint="eastAsia" w:ascii="Times New Roman" w:hAnsi="Times New Roman" w:eastAsia="宋体" w:cs="Times New Roman"/>
          <w:bCs/>
          <w:snapToGrid w:val="0"/>
          <w:kern w:val="0"/>
          <w:sz w:val="24"/>
        </w:rPr>
        <w:t>管理关系</w:t>
      </w:r>
      <w:r>
        <w:rPr>
          <w:rFonts w:hint="eastAsia" w:ascii="Times New Roman" w:hAnsi="Times New Roman" w:eastAsia="宋体" w:cs="Times New Roman"/>
          <w:bCs/>
          <w:snapToGrid w:val="0"/>
          <w:kern w:val="0"/>
          <w:sz w:val="24"/>
          <w:vertAlign w:val="superscript"/>
        </w:rPr>
        <w:footnoteReference w:id="2"/>
      </w:r>
      <w:r>
        <w:rPr>
          <w:rFonts w:hint="eastAsia" w:ascii="Times New Roman" w:hAnsi="Times New Roman" w:eastAsia="宋体" w:cs="Times New Roman"/>
          <w:bCs/>
          <w:snapToGrid w:val="0"/>
          <w:kern w:val="0"/>
          <w:sz w:val="24"/>
        </w:rPr>
        <w:t>的不同单位、不得同时参加本次招标项目的投标，否则</w:t>
      </w:r>
      <w:r>
        <w:rPr>
          <w:rFonts w:hint="eastAsia" w:ascii="Times New Roman" w:hAnsi="Times New Roman" w:eastAsia="宋体" w:cs="Times New Roman"/>
          <w:bCs/>
          <w:snapToGrid w:val="0"/>
          <w:kern w:val="0"/>
          <w:sz w:val="24"/>
          <w:lang w:eastAsia="zh-CN"/>
        </w:rPr>
        <w:t>否决其投标</w:t>
      </w:r>
      <w:r>
        <w:rPr>
          <w:rFonts w:hint="eastAsia" w:ascii="Times New Roman" w:hAnsi="Times New Roman" w:eastAsia="宋体" w:cs="Times New Roman"/>
          <w:bCs/>
          <w:snapToGrid w:val="0"/>
          <w:kern w:val="0"/>
          <w:sz w:val="24"/>
        </w:rPr>
        <w:t>。</w:t>
      </w:r>
    </w:p>
    <w:p>
      <w:pPr>
        <w:topLinePunct/>
        <w:spacing w:line="360" w:lineRule="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cs="Times New Roman"/>
          <w:color w:val="auto"/>
          <w:sz w:val="24"/>
          <w:lang w:val="en-US" w:eastAsia="zh-CN"/>
        </w:rPr>
        <w:t>招标项目</w:t>
      </w:r>
      <w:r>
        <w:rPr>
          <w:rFonts w:hint="eastAsia" w:ascii="Times New Roman" w:hAnsi="Times New Roman" w:eastAsia="宋体" w:cs="Times New Roman"/>
          <w:color w:val="auto"/>
          <w:sz w:val="24"/>
        </w:rPr>
        <w:t>的</w:t>
      </w:r>
      <w:r>
        <w:rPr>
          <w:rFonts w:hint="eastAsia" w:cs="Times New Roman"/>
          <w:color w:val="auto"/>
          <w:sz w:val="24"/>
          <w:lang w:val="en-US" w:eastAsia="zh-CN"/>
        </w:rPr>
        <w:t>投标单位</w:t>
      </w:r>
      <w:r>
        <w:rPr>
          <w:rFonts w:hint="eastAsia" w:ascii="Times New Roman" w:hAnsi="Times New Roman" w:eastAsia="宋体" w:cs="Times New Roman"/>
          <w:color w:val="auto"/>
          <w:sz w:val="24"/>
        </w:rPr>
        <w:t>，</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31</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cs="Times New Roman"/>
          <w:color w:val="000000"/>
          <w:sz w:val="24"/>
          <w:lang w:val="en-US" w:eastAsia="zh-CN"/>
        </w:rPr>
        <w:t>招标人</w:t>
      </w:r>
      <w:r>
        <w:rPr>
          <w:rFonts w:hint="eastAsia" w:ascii="Times New Roman" w:hAnsi="Times New Roman" w:eastAsia="宋体" w:cs="Times New Roman"/>
          <w:color w:val="000000"/>
          <w:sz w:val="24"/>
        </w:rPr>
        <w:t>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逾期无效。招标人在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w:t>
      </w:r>
      <w:r>
        <w:rPr>
          <w:rFonts w:hint="eastAsia" w:cs="Times New Roman"/>
          <w:snapToGrid w:val="0"/>
          <w:color w:val="000000"/>
          <w:kern w:val="0"/>
          <w:sz w:val="24"/>
          <w:lang w:val="en-US" w:eastAsia="zh-CN"/>
        </w:rPr>
        <w:t>投标单位</w:t>
      </w:r>
      <w:r>
        <w:rPr>
          <w:rFonts w:hint="eastAsia" w:ascii="Times New Roman" w:hAnsi="Times New Roman" w:eastAsia="宋体" w:cs="Times New Roman"/>
          <w:snapToGrid w:val="0"/>
          <w:color w:val="000000"/>
          <w:kern w:val="0"/>
          <w:sz w:val="24"/>
          <w:lang w:val="en-US" w:eastAsia="zh-CN"/>
        </w:rPr>
        <w:t>信用信誉等情况进行讨论提议，按优先选取本公司库内投标单位原则开展后续</w:t>
      </w:r>
      <w:r>
        <w:rPr>
          <w:rFonts w:hint="eastAsia" w:cs="Times New Roman"/>
          <w:snapToGrid w:val="0"/>
          <w:color w:val="000000"/>
          <w:kern w:val="0"/>
          <w:sz w:val="24"/>
          <w:lang w:val="en-US" w:eastAsia="zh-CN"/>
        </w:rPr>
        <w:t>招标项目</w:t>
      </w:r>
      <w:r>
        <w:rPr>
          <w:rFonts w:hint="eastAsia" w:ascii="Times New Roman" w:hAnsi="Times New Roman" w:eastAsia="宋体" w:cs="Times New Roman"/>
          <w:snapToGrid w:val="0"/>
          <w:color w:val="000000"/>
          <w:kern w:val="0"/>
          <w:sz w:val="24"/>
          <w:lang w:val="en-US" w:eastAsia="zh-CN"/>
        </w:rPr>
        <w:t>，不再另行发布</w:t>
      </w:r>
      <w:r>
        <w:rPr>
          <w:rFonts w:hint="eastAsia" w:cs="Times New Roman"/>
          <w:snapToGrid w:val="0"/>
          <w:color w:val="000000"/>
          <w:kern w:val="0"/>
          <w:sz w:val="24"/>
          <w:lang w:val="en-US" w:eastAsia="zh-CN"/>
        </w:rPr>
        <w:t>招标</w:t>
      </w:r>
      <w:r>
        <w:rPr>
          <w:rFonts w:hint="eastAsia" w:ascii="Times New Roman" w:hAnsi="Times New Roman" w:eastAsia="宋体" w:cs="Times New Roman"/>
          <w:snapToGrid w:val="0"/>
          <w:color w:val="000000"/>
          <w:kern w:val="0"/>
          <w:sz w:val="24"/>
          <w:lang w:val="en-US" w:eastAsia="zh-CN"/>
        </w:rPr>
        <w:t>公告。</w:t>
      </w:r>
    </w:p>
    <w:p>
      <w:pPr>
        <w:topLinePunct/>
        <w:spacing w:line="360" w:lineRule="auto"/>
        <w:outlineLvl w:val="1"/>
        <w:rPr>
          <w:rFonts w:ascii="Times New Roman" w:hAnsi="Times New Roman" w:eastAsia="宋体" w:cs="Times New Roman"/>
          <w:b/>
          <w:snapToGrid w:val="0"/>
          <w:color w:val="000000"/>
          <w:kern w:val="0"/>
          <w:sz w:val="24"/>
        </w:rPr>
      </w:pPr>
      <w:bookmarkStart w:id="2" w:name="_Toc332965960"/>
      <w:bookmarkStart w:id="3" w:name="_Toc332793818"/>
      <w:bookmarkStart w:id="4" w:name="_Toc332793891"/>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topLinePunct/>
        <w:spacing w:line="360" w:lineRule="auto"/>
        <w:rPr>
          <w:rFonts w:ascii="Times New Roman" w:hAnsi="Times New Roman" w:eastAsia="宋体" w:cs="Times New Roman"/>
          <w:color w:val="000000"/>
          <w:sz w:val="24"/>
        </w:rPr>
      </w:pPr>
      <w:r>
        <w:rPr>
          <w:rFonts w:hint="eastAsia" w:cs="Times New Roman"/>
          <w:color w:val="000000"/>
          <w:sz w:val="24"/>
          <w:lang w:val="en-US" w:eastAsia="zh-CN"/>
        </w:rPr>
        <w:t>招  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topLinePunct/>
        <w:spacing w:line="360" w:lineRule="auto"/>
        <w:rPr>
          <w:rFonts w:ascii="Times New Roman" w:hAnsi="Times New Roman" w:eastAsia="宋体" w:cs="Times New Roman"/>
          <w:color w:val="000000"/>
          <w:sz w:val="24"/>
        </w:rPr>
      </w:pPr>
      <w:r>
        <w:rPr>
          <w:rFonts w:hint="eastAsia" w:cs="Times New Roman"/>
          <w:color w:val="000000"/>
          <w:sz w:val="24"/>
          <w:lang w:val="en-US" w:eastAsia="zh-CN"/>
        </w:rPr>
        <w:t>招标人</w:t>
      </w:r>
      <w:r>
        <w:rPr>
          <w:rFonts w:hint="eastAsia" w:ascii="Times New Roman" w:hAnsi="Times New Roman" w:eastAsia="宋体" w:cs="Times New Roman"/>
          <w:color w:val="000000"/>
          <w:sz w:val="24"/>
        </w:rPr>
        <w:t>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topLinePunct/>
        <w:spacing w:line="360" w:lineRule="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right"/>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28</w:t>
      </w:r>
      <w:r>
        <w:rPr>
          <w:rFonts w:hint="eastAsia" w:ascii="Times New Roman" w:hAnsi="Times New Roman" w:eastAsia="宋体" w:cs="Times New Roman"/>
          <w:color w:val="000000"/>
          <w:sz w:val="24"/>
          <w:highlight w:val="none"/>
        </w:rPr>
        <w:t>日</w:t>
      </w:r>
    </w:p>
    <w:p>
      <w:r>
        <w:br w:type="page"/>
      </w:r>
    </w:p>
    <w:p>
      <w:pPr>
        <w:pStyle w:val="4"/>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东濠涌及内环路高架水下桩基劳务协作及耐久性研究服务项目 </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lang w:val="en-US" w:eastAsia="zh-CN"/>
        </w:rPr>
        <w:t>招标活动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w:t>
      </w:r>
      <w:r>
        <w:rPr>
          <w:rFonts w:hint="eastAsia" w:ascii="仿宋" w:hAnsi="仿宋" w:eastAsia="仿宋" w:cs="仿宋"/>
          <w:snapToGrid w:val="0"/>
          <w:color w:val="000000"/>
          <w:kern w:val="0"/>
          <w:sz w:val="28"/>
          <w:szCs w:val="28"/>
          <w:highlight w:val="none"/>
          <w:lang w:val="en-US" w:eastAsia="zh-CN"/>
        </w:rPr>
        <w:t>招标活动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6"/>
        <w:spacing w:line="240" w:lineRule="auto"/>
        <w:ind w:firstLine="261"/>
        <w:rPr>
          <w:rFonts w:hint="eastAsia"/>
          <w:szCs w:val="18"/>
        </w:rPr>
      </w:pPr>
      <w:r>
        <w:rPr>
          <w:rStyle w:val="10"/>
          <w:szCs w:val="18"/>
        </w:rPr>
        <w:footnoteRef/>
      </w:r>
      <w:r>
        <w:rPr>
          <w:rFonts w:hint="eastAsia"/>
          <w:szCs w:val="18"/>
        </w:rPr>
        <w:t>单位负责人是指单位的法定代表人或者法律、行政法规规定代表单位行使职权的主要负责人。</w:t>
      </w:r>
    </w:p>
  </w:footnote>
  <w:footnote w:id="1">
    <w:p>
      <w:pPr>
        <w:pStyle w:val="6"/>
        <w:spacing w:line="240" w:lineRule="auto"/>
        <w:ind w:firstLine="261"/>
        <w:rPr>
          <w:rFonts w:hint="eastAsia"/>
          <w:szCs w:val="18"/>
        </w:rPr>
      </w:pPr>
      <w:r>
        <w:rPr>
          <w:rStyle w:val="10"/>
          <w:szCs w:val="18"/>
        </w:rPr>
        <w:footnoteRef/>
      </w:r>
      <w:r>
        <w:rPr>
          <w:rFonts w:hint="eastAsia"/>
          <w:szCs w:val="18"/>
        </w:rPr>
        <w:t>控股是指股份占股份有限公司股本总额的50%以上。</w:t>
      </w:r>
    </w:p>
  </w:footnote>
  <w:footnote w:id="2">
    <w:p>
      <w:pPr>
        <w:pStyle w:val="6"/>
        <w:spacing w:line="240" w:lineRule="auto"/>
        <w:ind w:firstLine="261"/>
        <w:rPr>
          <w:rFonts w:hint="eastAsia"/>
          <w:szCs w:val="18"/>
        </w:rPr>
      </w:pPr>
      <w:r>
        <w:rPr>
          <w:rStyle w:val="10"/>
          <w:szCs w:val="18"/>
        </w:rPr>
        <w:footnoteRef/>
      </w:r>
      <w:r>
        <w:rPr>
          <w:rFonts w:hint="eastAsia"/>
          <w:szCs w:val="18"/>
        </w:rPr>
        <w:t>管理关系是指不具有出资持股关系的其它单位之间存在的管理与被管理关系，如一些事业单位。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12ED5CBA"/>
    <w:rsid w:val="166060CD"/>
    <w:rsid w:val="18A64941"/>
    <w:rsid w:val="18B434EF"/>
    <w:rsid w:val="19152A58"/>
    <w:rsid w:val="214C6B85"/>
    <w:rsid w:val="346E2270"/>
    <w:rsid w:val="34FD186C"/>
    <w:rsid w:val="357B5ACE"/>
    <w:rsid w:val="38592295"/>
    <w:rsid w:val="47B53AE6"/>
    <w:rsid w:val="4B3118CB"/>
    <w:rsid w:val="4B6A7489"/>
    <w:rsid w:val="4F3223B5"/>
    <w:rsid w:val="50460DCD"/>
    <w:rsid w:val="517D31EE"/>
    <w:rsid w:val="52B57793"/>
    <w:rsid w:val="57BF2D4E"/>
    <w:rsid w:val="5E317EF2"/>
    <w:rsid w:val="63166D1A"/>
    <w:rsid w:val="6AC365D1"/>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3"/>
    <w:qFormat/>
    <w:uiPriority w:val="0"/>
    <w:pPr>
      <w:spacing w:line="312" w:lineRule="auto"/>
      <w:ind w:firstLine="420"/>
    </w:pPr>
  </w:style>
  <w:style w:type="paragraph" w:styleId="3">
    <w:name w:val="Body Text"/>
    <w:basedOn w:val="1"/>
    <w:next w:val="1"/>
    <w:qFormat/>
    <w:uiPriority w:val="0"/>
    <w:pPr>
      <w:spacing w:after="120"/>
    </w:pPr>
    <w:rPr>
      <w:rFonts w:ascii="Times New Roman"/>
      <w:kern w:val="2"/>
      <w:sz w:val="21"/>
      <w:szCs w:val="24"/>
    </w:rPr>
  </w:style>
  <w:style w:type="paragraph" w:styleId="4">
    <w:name w:val="Normal Indent"/>
    <w:basedOn w:val="1"/>
    <w:next w:val="1"/>
    <w:qFormat/>
    <w:uiPriority w:val="99"/>
    <w:pPr>
      <w:ind w:firstLine="420" w:firstLineChars="200"/>
    </w:pPr>
  </w:style>
  <w:style w:type="paragraph" w:styleId="5">
    <w:name w:val="Plain Text"/>
    <w:basedOn w:val="1"/>
    <w:next w:val="1"/>
    <w:qFormat/>
    <w:uiPriority w:val="0"/>
    <w:rPr>
      <w:rFonts w:ascii="宋体" w:hAnsi="Courier New"/>
      <w:szCs w:val="20"/>
    </w:rPr>
  </w:style>
  <w:style w:type="paragraph" w:styleId="6">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1166</Words>
  <Characters>1248</Characters>
  <Lines>0</Lines>
  <Paragraphs>0</Paragraphs>
  <TotalTime>0</TotalTime>
  <ScaleCrop>false</ScaleCrop>
  <LinksUpToDate>false</LinksUpToDate>
  <CharactersWithSpaces>1436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2022-10-20T00:57:00Z</cp:lastPrinted>
  <dcterms:modified xsi:type="dcterms:W3CDTF">2023-03-28T01:09:22Z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B75484C30A0D48A998196F431A9A3E69</vt:lpwstr>
  </property>
</Properties>
</file>